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50"/>
        <w:gridCol w:w="851"/>
        <w:gridCol w:w="4111"/>
        <w:gridCol w:w="4675"/>
      </w:tblGrid>
      <w:tr w:rsidR="007B3B7F" w:rsidRPr="000713EA" w:rsidTr="007B3B7F">
        <w:trPr>
          <w:tblHeader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bookmarkStart w:id="0" w:name="_GoBack"/>
            <w:bookmarkEnd w:id="0"/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 xml:space="preserve">Categorieën praktijkkennis 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Beschrijving gebruikt in dit onderzoek</w:t>
            </w:r>
          </w:p>
        </w:tc>
        <w:tc>
          <w:tcPr>
            <w:tcW w:w="1750" w:type="pct"/>
            <w:gridSpan w:val="2"/>
          </w:tcPr>
          <w:p w:rsidR="007B3B7F" w:rsidRPr="000713EA" w:rsidRDefault="007B3B7F" w:rsidP="007B3B7F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 xml:space="preserve">Analysecategorieën voor </w:t>
            </w:r>
            <w:r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 xml:space="preserve">de </w:t>
            </w: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uitingen van de mentor in de dialoog</w:t>
            </w:r>
          </w:p>
        </w:tc>
        <w:tc>
          <w:tcPr>
            <w:tcW w:w="1649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Beslisregels</w:t>
            </w:r>
          </w:p>
        </w:tc>
      </w:tr>
      <w:tr w:rsidR="007B3B7F" w:rsidRPr="00F77D30" w:rsidTr="007B3B7F">
        <w:trPr>
          <w:trHeight w:val="814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1. Vakinhoudelijke kennis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eastAsia="Arial Unicode MS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eastAsia="Arial Unicode MS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de vakinhoud van geletterdheid als zodanig.</w:t>
            </w:r>
          </w:p>
        </w:tc>
        <w:tc>
          <w:tcPr>
            <w:tcW w:w="300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PK-V</w:t>
            </w: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uiting over (deel)vaardigheden van lezen en schrijven waarin een vakterm voor geletterdheid wordt gebruikt.</w:t>
            </w:r>
          </w:p>
        </w:tc>
        <w:tc>
          <w:tcPr>
            <w:tcW w:w="1649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Vaktermen zijn bijvoorbeeld: leesrichting, fonemisch bewustzijn, grafemen, fonemen, visuele discriminatie, -analyse en -synthese, auditieve discriminatie, -analyse en –synthese.</w:t>
            </w:r>
          </w:p>
        </w:tc>
      </w:tr>
      <w:tr w:rsidR="007B3B7F" w:rsidRPr="00F77D30" w:rsidTr="007B3B7F">
        <w:trPr>
          <w:trHeight w:val="784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2. Algemeen pedagogisch-didactische kennis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onderwijs aan kleuters, niet direct gerelateerd aan geletterdheid.</w:t>
            </w:r>
          </w:p>
        </w:tc>
        <w:tc>
          <w:tcPr>
            <w:tcW w:w="30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PK-A</w:t>
            </w:r>
          </w:p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uiting over klassenmanagement, pedagogisch klimaat en instructie bij kleuters in het algemeen.</w:t>
            </w:r>
          </w:p>
        </w:tc>
        <w:tc>
          <w:tcPr>
            <w:tcW w:w="1649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Een voorbeeld van klassenmanagement is de ‘kleine kring’. Een algemene instructie- techniek is bijvoorbeeld het gebruik van ‘aanschouwelijk’ of concreet materiaal.</w:t>
            </w:r>
          </w:p>
        </w:tc>
      </w:tr>
      <w:tr w:rsidR="007B3B7F" w:rsidRPr="00F77D30" w:rsidTr="007B3B7F"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3. Kennis over   leren van leerlingen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het leren van leerlingen op gebied van geletterdheid.</w:t>
            </w:r>
          </w:p>
        </w:tc>
        <w:tc>
          <w:tcPr>
            <w:tcW w:w="30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 xml:space="preserve">PK-Ls </w:t>
            </w: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uiting over wat specifieke leerlingen in de groep op een bepaald moment kunnen (of juist niet) op gebied van geletterdheid.</w:t>
            </w:r>
          </w:p>
        </w:tc>
        <w:tc>
          <w:tcPr>
            <w:tcW w:w="1649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 xml:space="preserve">Leren en leerproblemen van specifieke leerlingen hebben een directe relatie met de vaardigheden die deel uitmaken van de leerlijnen (zie La). </w:t>
            </w:r>
          </w:p>
        </w:tc>
      </w:tr>
      <w:tr w:rsidR="007B3B7F" w:rsidRPr="00F77D30" w:rsidTr="007B3B7F">
        <w:trPr>
          <w:trHeight w:val="475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4. Kennis over doelen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 xml:space="preserve">Kennis en opvattingen over doelen op gebied van geletterdheid. </w:t>
            </w:r>
          </w:p>
        </w:tc>
        <w:tc>
          <w:tcPr>
            <w:tcW w:w="300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en-US"/>
              </w:rPr>
              <w:t>PK-D</w:t>
            </w:r>
          </w:p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 xml:space="preserve">uiting over vaardigheden op gebied van geletterdheid die leerlingen op een bepaald moment moeten beheersen, inclusief de daaraan gerelateerde kennis, en die met een gerichte activiteit of les worden nagestreefd. </w:t>
            </w:r>
          </w:p>
        </w:tc>
        <w:tc>
          <w:tcPr>
            <w:tcW w:w="1649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 xml:space="preserve">Een vaardigheidsdoel is bijvoorbeeld: leerlingen onderscheiden losse klanken in een woord; </w:t>
            </w:r>
          </w:p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>Een kennisdoel is bijvoorbeeld: leerlingen kennen de begrippen letter en klank.</w:t>
            </w:r>
          </w:p>
        </w:tc>
      </w:tr>
      <w:tr w:rsidR="007B3B7F" w:rsidRPr="00F77D30" w:rsidTr="007B3B7F">
        <w:trPr>
          <w:trHeight w:val="593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 xml:space="preserve">5. Kennis over leerlijnen </w:t>
            </w: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leerlijnen op gebied van geletterdheid.</w:t>
            </w:r>
          </w:p>
        </w:tc>
        <w:tc>
          <w:tcPr>
            <w:tcW w:w="30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en-US"/>
              </w:rPr>
              <w:t>PK-La</w:t>
            </w: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>uiting over de volgorde waarin leerlingen over het algemeen bepaalde vaardigheden op gebied van geletterdheid ontwikkelen.</w:t>
            </w:r>
          </w:p>
        </w:tc>
        <w:tc>
          <w:tcPr>
            <w:tcW w:w="1649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>Leerlijnen voor geletterdheid zijn bijvoorbeeld: 1) leesontwikkeling, 2) schrijfontwikkeling en 3) ontwikkeling van taalbewustzijn (fonologisch en fonemisch bewustzijn)</w:t>
            </w:r>
          </w:p>
        </w:tc>
      </w:tr>
      <w:tr w:rsidR="007B3B7F" w:rsidRPr="00F77D30" w:rsidTr="007B3B7F">
        <w:trPr>
          <w:trHeight w:val="244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6. Kennis over materialen</w:t>
            </w:r>
          </w:p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materialen op gebied van geletterdheid.</w:t>
            </w:r>
          </w:p>
        </w:tc>
        <w:tc>
          <w:tcPr>
            <w:tcW w:w="300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en-US"/>
              </w:rPr>
              <w:t>PK-M</w:t>
            </w: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>uiting over (methode-)materialen voor geletterdheid.</w:t>
            </w:r>
          </w:p>
        </w:tc>
        <w:tc>
          <w:tcPr>
            <w:tcW w:w="1649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en-US"/>
              </w:rPr>
              <w:t>Voorbeelden van materialen voor geletterdheid zijn: letter- en schrijfmateriaal, pictogrammen, woordkaartjes, lettermuur, (prenten-)boeken.</w:t>
            </w:r>
          </w:p>
        </w:tc>
      </w:tr>
      <w:tr w:rsidR="007B3B7F" w:rsidRPr="00F77D30" w:rsidTr="007B3B7F">
        <w:trPr>
          <w:trHeight w:val="244"/>
        </w:trPr>
        <w:tc>
          <w:tcPr>
            <w:tcW w:w="736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7. Kennis over instructie</w:t>
            </w:r>
          </w:p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</w:p>
        </w:tc>
        <w:tc>
          <w:tcPr>
            <w:tcW w:w="864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Kennis en opvattingen over instructie op gebied van geletterdheid.</w:t>
            </w:r>
          </w:p>
        </w:tc>
        <w:tc>
          <w:tcPr>
            <w:tcW w:w="300" w:type="pct"/>
            <w:shd w:val="clear" w:color="auto" w:fill="auto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b/>
                <w:spacing w:val="-2"/>
                <w:sz w:val="20"/>
                <w:szCs w:val="20"/>
                <w:lang w:val="nl-NL" w:eastAsia="nl-NL"/>
              </w:rPr>
              <w:t>PK-Is</w:t>
            </w:r>
          </w:p>
        </w:tc>
        <w:tc>
          <w:tcPr>
            <w:tcW w:w="1450" w:type="pct"/>
          </w:tcPr>
          <w:p w:rsidR="007B3B7F" w:rsidRPr="000713EA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uiting over specifieke instructie op gebied van geletterdheid.</w:t>
            </w:r>
          </w:p>
        </w:tc>
        <w:tc>
          <w:tcPr>
            <w:tcW w:w="1649" w:type="pct"/>
            <w:shd w:val="clear" w:color="auto" w:fill="auto"/>
          </w:tcPr>
          <w:p w:rsidR="007B3B7F" w:rsidRPr="00430E5F" w:rsidRDefault="007B3B7F" w:rsidP="00FF7C54">
            <w:pPr>
              <w:spacing w:line="264" w:lineRule="auto"/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</w:pPr>
            <w:r w:rsidRPr="000713EA">
              <w:rPr>
                <w:rFonts w:ascii="Century Gothic" w:hAnsi="Century Gothic" w:cs="Calibri"/>
                <w:spacing w:val="-2"/>
                <w:sz w:val="20"/>
                <w:szCs w:val="20"/>
                <w:lang w:val="nl-NL" w:eastAsia="nl-NL"/>
              </w:rPr>
              <w:t>Specifieke instructietechnieken zijn bijvoorbeeld: voordoen van een taalactiviteit (lezen of schrijven door leraar), demonstratie van een vaardigheid (auditieve analyse: “pen is p-e-n”).</w:t>
            </w:r>
          </w:p>
        </w:tc>
      </w:tr>
    </w:tbl>
    <w:p w:rsidR="00CD54C5" w:rsidRPr="007B3B7F" w:rsidRDefault="00E878E3">
      <w:pPr>
        <w:rPr>
          <w:lang w:val="nl-NL"/>
        </w:rPr>
      </w:pPr>
    </w:p>
    <w:sectPr w:rsidR="00CD54C5" w:rsidRPr="007B3B7F" w:rsidSect="00F77D30">
      <w:headerReference w:type="default" r:id="rId7"/>
      <w:pgSz w:w="15840" w:h="12240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E3" w:rsidRDefault="00E878E3" w:rsidP="00F77D30">
      <w:r>
        <w:separator/>
      </w:r>
    </w:p>
  </w:endnote>
  <w:endnote w:type="continuationSeparator" w:id="0">
    <w:p w:rsidR="00E878E3" w:rsidRDefault="00E878E3" w:rsidP="00F7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E3" w:rsidRDefault="00E878E3" w:rsidP="00F77D30">
      <w:r>
        <w:separator/>
      </w:r>
    </w:p>
  </w:footnote>
  <w:footnote w:type="continuationSeparator" w:id="0">
    <w:p w:rsidR="00E878E3" w:rsidRDefault="00E878E3" w:rsidP="00F77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30" w:rsidRPr="00F77D30" w:rsidRDefault="00F77D30" w:rsidP="00F77D30">
    <w:pPr>
      <w:pStyle w:val="Header"/>
      <w:rPr>
        <w:rFonts w:ascii="Calibri" w:hAnsi="Calibri"/>
        <w:color w:val="3B3838"/>
        <w:lang w:val="nl-NL"/>
      </w:rPr>
    </w:pPr>
    <w:r w:rsidRPr="00F77D30">
      <w:rPr>
        <w:rFonts w:ascii="Calibri" w:hAnsi="Calibri"/>
        <w:color w:val="3B3838"/>
        <w:lang w:val="nl-NL"/>
      </w:rPr>
      <w:t xml:space="preserve">Bron: Proefschrift </w:t>
    </w:r>
    <w:r w:rsidRPr="00F77D30">
      <w:rPr>
        <w:rFonts w:ascii="Calibri" w:hAnsi="Calibri"/>
        <w:i/>
        <w:color w:val="3B3838"/>
        <w:lang w:val="nl-NL"/>
      </w:rPr>
      <w:t>Kijk op de praktijk</w:t>
    </w:r>
    <w:r w:rsidRPr="00F77D30">
      <w:rPr>
        <w:rFonts w:ascii="Calibri" w:hAnsi="Calibri"/>
        <w:color w:val="3B3838"/>
        <w:lang w:val="nl-NL"/>
      </w:rPr>
      <w:t xml:space="preserve">, Maaike Vervoort (2013) ©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7F"/>
    <w:rsid w:val="00724525"/>
    <w:rsid w:val="007B3B7F"/>
    <w:rsid w:val="009233F9"/>
    <w:rsid w:val="00A45F88"/>
    <w:rsid w:val="00C46123"/>
    <w:rsid w:val="00E878E3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77D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3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D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D3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77D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3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Maaike Vervoort</dc:creator>
  <cp:lastModifiedBy>TESO</cp:lastModifiedBy>
  <cp:revision>2</cp:revision>
  <dcterms:created xsi:type="dcterms:W3CDTF">2014-11-20T15:22:00Z</dcterms:created>
  <dcterms:modified xsi:type="dcterms:W3CDTF">2014-11-20T15:22:00Z</dcterms:modified>
</cp:coreProperties>
</file>